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Arial Narrow" w:cs="Arial Narrow" w:eastAsia="Arial Narrow" w:hAnsi="Arial Narrow"/>
          <w:color w:val="ff0000"/>
          <w:sz w:val="40"/>
          <w:szCs w:val="40"/>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Narrow" w:cs="Arial Narrow" w:eastAsia="Arial Narrow" w:hAnsi="Arial Narrow"/>
          <w:color w:val="ff0000"/>
          <w:sz w:val="40"/>
          <w:szCs w:val="40"/>
          <w:rtl w:val="0"/>
        </w:rPr>
        <w:t xml:space="preserve">Mrs.Treichel</w:t>
      </w:r>
      <w:r w:rsidDel="00000000" w:rsidR="00000000" w:rsidRPr="00000000">
        <w:rPr>
          <w:rFonts w:ascii="Arial" w:cs="Arial" w:eastAsia="Arial" w:hAnsi="Arial"/>
          <w:b w:val="1"/>
          <w:color w:val="ff0000"/>
          <w:sz w:val="52"/>
          <w:szCs w:val="52"/>
          <w:rtl w:val="0"/>
        </w:rPr>
        <w:t xml:space="preserve"> </w:t>
      </w:r>
      <w:r w:rsidDel="00000000" w:rsidR="00000000" w:rsidRPr="00000000">
        <w:rPr>
          <w:rFonts w:ascii="Arial" w:cs="Arial" w:eastAsia="Arial" w:hAnsi="Arial"/>
          <w:b w:val="1"/>
          <w:color w:val="000000"/>
          <w:sz w:val="36"/>
          <w:szCs w:val="36"/>
          <w:rtl w:val="0"/>
        </w:rPr>
        <w:t xml:space="preserve">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assists with other items too but below are the type of items you go without due to budget constraints or aren’t necessary but would impact the education of students in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before="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EB Teachers’ Club Yearly Membership</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289.00</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Ebacademics.</w:t>
            </w:r>
          </w:p>
          <w:p w:rsidR="00000000" w:rsidDel="00000000" w:rsidP="00000000" w:rsidRDefault="00000000" w:rsidRPr="00000000" w14:paraId="00000011">
            <w:pPr>
              <w:rPr>
                <w:rFonts w:ascii="Arial" w:cs="Arial" w:eastAsia="Arial" w:hAnsi="Arial"/>
              </w:rPr>
            </w:pPr>
            <w:r w:rsidDel="00000000" w:rsidR="00000000" w:rsidRPr="00000000">
              <w:rPr>
                <w:rFonts w:ascii="Helvetica Neue" w:cs="Helvetica Neue" w:eastAsia="Helvetica Neue" w:hAnsi="Helvetica Neue"/>
                <w:color w:val="565867"/>
                <w:sz w:val="26"/>
                <w:szCs w:val="26"/>
                <w:highlight w:val="white"/>
                <w:rtl w:val="0"/>
              </w:rPr>
              <w:t xml:space="preserve">Please contact us at </w:t>
            </w:r>
            <w:hyperlink r:id="rId8">
              <w:r w:rsidDel="00000000" w:rsidR="00000000" w:rsidRPr="00000000">
                <w:rPr>
                  <w:rFonts w:ascii="Helvetica Neue" w:cs="Helvetica Neue" w:eastAsia="Helvetica Neue" w:hAnsi="Helvetica Neue"/>
                  <w:color w:val="5ce1e6"/>
                  <w:sz w:val="26"/>
                  <w:szCs w:val="26"/>
                  <w:highlight w:val="white"/>
                  <w:u w:val="single"/>
                  <w:rtl w:val="0"/>
                </w:rPr>
                <w:t xml:space="preserve">caitlinandjessica@ebacademics.com</w:t>
              </w:r>
            </w:hyperlink>
            <w:r w:rsidDel="00000000" w:rsidR="00000000" w:rsidRPr="00000000">
              <w:rPr>
                <w:rFonts w:ascii="Helvetica Neue" w:cs="Helvetica Neue" w:eastAsia="Helvetica Neue" w:hAnsi="Helvetica Neue"/>
                <w:color w:val="565867"/>
                <w:sz w:val="26"/>
                <w:szCs w:val="26"/>
                <w:highlight w:val="white"/>
                <w:rtl w:val="0"/>
              </w:rPr>
              <w:t xml:space="preserve"> to arrange this.</w:t>
            </w:r>
            <w:r w:rsidDel="00000000" w:rsidR="00000000" w:rsidRPr="00000000">
              <w:rPr>
                <w:rtl w:val="0"/>
              </w:rPr>
            </w:r>
          </w:p>
        </w:tc>
      </w:tr>
      <w:tr>
        <w:trPr>
          <w:trHeight w:val="216" w:hRule="atLeast"/>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Pear Deck Subscription – One year (2021-2022 school year)</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149.99</w:t>
            </w:r>
          </w:p>
        </w:tc>
        <w:tc>
          <w:tcPr/>
          <w:p w:rsidR="00000000" w:rsidDel="00000000" w:rsidP="00000000" w:rsidRDefault="00000000" w:rsidRPr="00000000" w14:paraId="00000015">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https://www.peardeck.com/individual-pear-deck-plan</w:t>
              </w:r>
            </w:hyperlink>
            <w:r w:rsidDel="00000000" w:rsidR="00000000" w:rsidRPr="00000000">
              <w:rPr>
                <w:rtl w:val="0"/>
              </w:rPr>
            </w:r>
          </w:p>
        </w:tc>
      </w:tr>
      <w:tr>
        <w:trPr>
          <w:trHeight w:val="227" w:hRule="atLeast"/>
        </w:trP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Scope Subscription (2021-2022 school year)</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6.99 per student</w:t>
            </w:r>
          </w:p>
        </w:tc>
        <w:tc>
          <w:tcPr/>
          <w:p w:rsidR="00000000" w:rsidDel="00000000" w:rsidP="00000000" w:rsidRDefault="00000000" w:rsidRPr="00000000" w14:paraId="00000019">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https://scope.scholastic.com/magazines/subscribe.html?magazineName=scope&amp;promo_code=6443</w:t>
              </w:r>
            </w:hyperlink>
            <w:r w:rsidDel="00000000" w:rsidR="00000000" w:rsidRPr="00000000">
              <w:rPr>
                <w:rtl w:val="0"/>
              </w:rPr>
            </w:r>
          </w:p>
        </w:tc>
      </w:tr>
    </w:tbl>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1" w:customStyle="1">
    <w:name w:val="Unresolved Mention1"/>
    <w:basedOn w:val="DefaultParagraphFont"/>
    <w:uiPriority w:val="99"/>
    <w:semiHidden w:val="1"/>
    <w:unhideWhenUsed w:val="1"/>
    <w:rsid w:val="00900E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cope.scholastic.com/magazines/subscribe.html?magazineName=scope&amp;promo_code=6443" TargetMode="External"/><Relationship Id="rId9" Type="http://schemas.openxmlformats.org/officeDocument/2006/relationships/hyperlink" Target="https://www.peardeck.com/individual-pear-deck-pl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aitlinandjessica@ebacademi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FuIDMFLjnfeGdGq6kesTYUJZg==">AMUW2mV8lTggg79wC1utpj5bYvYqH1k704A761mv9aaPWE59AX2qfwDnfKDV3k9OcGdwCgpt+K3wljflJsxZhxGfrPFNjlYOnQIAFsnj+qagmyqzWBLLiDM=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2021-02-05T00:46:00Z</dcterms:created>
  <dc:creator>ohlson family</dc:creator>
</cp:coreProperties>
</file>