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posOffset>0</wp:posOffset>
            </wp:positionH>
            <wp:positionV relativeFrom="page">
              <wp:posOffset>168275</wp:posOffset>
            </wp:positionV>
            <wp:extent cx="1288415" cy="1066800"/>
            <wp:effectExtent b="0" l="0" r="0" t="0"/>
            <wp:wrapSquare wrapText="bothSides" distB="0" distT="0" distL="114300" distR="11430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288415" cy="1066800"/>
                    </a:xfrm>
                    <a:prstGeom prst="rect"/>
                    <a:ln/>
                  </pic:spPr>
                </pic:pic>
              </a:graphicData>
            </a:graphic>
          </wp:anchor>
        </w:drawing>
      </w:r>
      <w:r w:rsidDel="00000000" w:rsidR="00000000" w:rsidRPr="00000000">
        <w:rPr>
          <w:rFonts w:ascii="Arial" w:cs="Arial" w:eastAsia="Arial" w:hAnsi="Arial"/>
          <w:b w:val="1"/>
          <w:color w:val="000000"/>
          <w:sz w:val="36"/>
          <w:szCs w:val="36"/>
          <w:rtl w:val="0"/>
        </w:rPr>
        <w:t xml:space="preserve">Teacher SS4S Wish List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color w:val="000000"/>
          <w:sz w:val="22"/>
          <w:szCs w:val="22"/>
          <w:u w:val="single"/>
          <w:rtl w:val="0"/>
        </w:rPr>
        <w:t xml:space="preserve">Classroom teacher incentives from Administration &amp; PTO:</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school (percentage based) gets wish list item(s) fulfilled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each grade level (percentage based) will not have to attend the last “licensed” extra day of school – May 27 – and can check out a day early!!</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Please list below items (with direct links) you would love to have in your classroom to aid in the education process of your students.  CCSD provides all the necessities and Staton Administration assist with other items too but below are the type of items you go without due to budget constraints or aren’t necessary but would impact the education of students is a positive way.</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Item(s) will be mailed directly to Staton Elementary at 1700 Sageberry Dr. Las Vegas, NV 89144 and are for the use of Staton students only.</w:t>
      </w:r>
    </w:p>
    <w:tbl>
      <w:tblPr>
        <w:tblStyle w:val="Table1"/>
        <w:tblW w:w="14409.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4"/>
        <w:gridCol w:w="4536"/>
        <w:gridCol w:w="1613"/>
        <w:gridCol w:w="7656"/>
        <w:tblGridChange w:id="0">
          <w:tblGrid>
            <w:gridCol w:w="604"/>
            <w:gridCol w:w="4536"/>
            <w:gridCol w:w="1613"/>
            <w:gridCol w:w="7656"/>
          </w:tblGrid>
        </w:tblGridChange>
      </w:tblGrid>
      <w:tr>
        <w:trPr>
          <w:trHeight w:val="216" w:hRule="atLeast"/>
        </w:trPr>
        <w:tc>
          <w:tcPr/>
          <w:p w:rsidR="00000000" w:rsidDel="00000000" w:rsidP="00000000" w:rsidRDefault="00000000" w:rsidRPr="00000000" w14:paraId="00000009">
            <w:pPr>
              <w:pStyle w:val="Heading1"/>
              <w:shd w:fill="ffffff" w:val="clear"/>
              <w:spacing w:before="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pStyle w:val="Heading1"/>
              <w:shd w:fill="ffffff" w:val="clea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Item description</w:t>
            </w:r>
          </w:p>
        </w:tc>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Item cost</w:t>
            </w:r>
          </w:p>
        </w:tc>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Exact item link</w:t>
            </w:r>
          </w:p>
        </w:tc>
      </w:tr>
      <w:tr>
        <w:trPr>
          <w:trHeight w:val="998" w:hRule="atLeast"/>
        </w:trPr>
        <w:tc>
          <w:tcPr/>
          <w:p w:rsidR="00000000" w:rsidDel="00000000" w:rsidP="00000000" w:rsidRDefault="00000000" w:rsidRPr="00000000" w14:paraId="0000000D">
            <w:pPr>
              <w:pStyle w:val="Heading1"/>
              <w:shd w:fill="ffffff" w:val="clear"/>
              <w:spacing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1</w:t>
            </w:r>
          </w:p>
        </w:tc>
        <w:tc>
          <w:tcPr/>
          <w:p w:rsidR="00000000" w:rsidDel="00000000" w:rsidP="00000000" w:rsidRDefault="00000000" w:rsidRPr="00000000" w14:paraId="0000000E">
            <w:pPr>
              <w:pStyle w:val="Heading1"/>
              <w:shd w:fill="ffffff" w:val="clear"/>
              <w:spacing w:after="280"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ECR4Kids The Surf Portable Lap Desk, Flexible Seating for Classrooms, One-Piece Writing Table for Kids, Black (10-Pack)</w:t>
            </w:r>
          </w:p>
          <w:p w:rsidR="00000000" w:rsidDel="00000000" w:rsidP="00000000" w:rsidRDefault="00000000" w:rsidRPr="00000000" w14:paraId="0000000F">
            <w:pPr>
              <w:rPr>
                <w:rFonts w:ascii="Arial" w:cs="Arial" w:eastAsia="Arial" w:hAnsi="Arial"/>
              </w:rPr>
            </w:pPr>
            <w:r w:rsidDel="00000000" w:rsidR="00000000" w:rsidRPr="00000000">
              <w:rPr>
                <w:rtl w:val="0"/>
              </w:rPr>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$199.99</w:t>
            </w:r>
          </w:p>
        </w:tc>
        <w:tc>
          <w:tcPr/>
          <w:p w:rsidR="00000000" w:rsidDel="00000000" w:rsidP="00000000" w:rsidRDefault="00000000" w:rsidRPr="00000000" w14:paraId="00000011">
            <w:pPr>
              <w:rPr>
                <w:rFonts w:ascii="Arial" w:cs="Arial" w:eastAsia="Arial" w:hAnsi="Arial"/>
              </w:rPr>
            </w:pPr>
            <w:hyperlink r:id="rId8">
              <w:r w:rsidDel="00000000" w:rsidR="00000000" w:rsidRPr="00000000">
                <w:rPr>
                  <w:rFonts w:ascii="Arial" w:cs="Arial" w:eastAsia="Arial" w:hAnsi="Arial"/>
                  <w:color w:val="0563c1"/>
                  <w:u w:val="single"/>
                  <w:rtl w:val="0"/>
                </w:rPr>
                <w:t xml:space="preserve">https://www.amazon.com/ECR4Kids-Surf-Portable-Writing-10-Pack/dp/B07X1ZWZDX/ref=sr_1_8?dchild=1&amp;keywords=Flexible%2BSeating%2BClassroom&amp;qid=1611615433&amp;sr=8-8&amp;th=1</w:t>
              </w:r>
            </w:hyperlink>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 2 fort building kids</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2 X $49.99</w:t>
            </w:r>
          </w:p>
        </w:tc>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https://www.lakeshorelearning.com/products/blocks-manipulatives/building-sets/the-ultimate-fort-builder/p/HH938</w:t>
            </w:r>
          </w:p>
        </w:tc>
      </w:tr>
      <w:tr>
        <w:trPr>
          <w:trHeight w:val="227" w:hRule="atLeast"/>
        </w:trPr>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Feel and find sensory tubs</w:t>
            </w:r>
          </w:p>
        </w:tc>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$115.00</w:t>
            </w:r>
          </w:p>
        </w:tc>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https://www.lakeshorelearning.com/products/sensory-exploration/sensory-play/feel-find-sensory-tubs-complete-set/p/PP530X</w:t>
            </w:r>
          </w:p>
        </w:tc>
      </w:tr>
      <w:tr>
        <w:trPr>
          <w:trHeight w:val="216" w:hRule="atLeast"/>
        </w:trPr>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Squish &amp; squeeze sensory beads</w:t>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$19.99</w:t>
            </w:r>
          </w:p>
        </w:tc>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https://www.lakeshorelearning.com/products/p/VR154</w:t>
            </w:r>
          </w:p>
        </w:tc>
      </w:tr>
      <w:tr>
        <w:trPr>
          <w:trHeight w:val="227" w:hRule="atLeast"/>
        </w:trPr>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Mold &amp; play sensory sand </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$29.99</w:t>
            </w:r>
          </w:p>
        </w:tc>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https://www.lakeshorelearning.com/products/p/EE200</w:t>
            </w:r>
          </w:p>
        </w:tc>
      </w:tr>
      <w:tr>
        <w:trPr>
          <w:trHeight w:val="216" w:hRule="atLeast"/>
        </w:trPr>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White Tagboard</w:t>
            </w:r>
          </w:p>
        </w:tc>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$13.91</w:t>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https://www.amazon.com/Pacon-PAC5214-Tagboard-Heavyweight-Sheets/dp/B0027667F2/ref=sr_1_6?dchild=1&amp;keywords=white+tagboard&amp;qid=1612562769&amp;sr=8-6</w:t>
            </w:r>
          </w:p>
        </w:tc>
      </w:tr>
      <w:tr>
        <w:trPr>
          <w:trHeight w:val="227" w:hRule="atLeast"/>
        </w:trPr>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Colored Tagboard</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$13.05</w:t>
            </w:r>
          </w:p>
        </w:tc>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https://www.amazon.com/Pacon-Colorwave-tagboard-100-sheet-assortment/dp/B0006HXNR4/ref=sr_1_2?dchild=1&amp;keywords=colored+tagboard&amp;qid=1612562902&amp;sr=8-2</w:t>
            </w:r>
          </w:p>
        </w:tc>
      </w:tr>
      <w:tr>
        <w:trPr>
          <w:trHeight w:val="216" w:hRule="atLeast"/>
        </w:trPr>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2C">
            <w:pPr>
              <w:rPr>
                <w:rFonts w:ascii="Arial" w:cs="Arial" w:eastAsia="Arial" w:hAnsi="Arial"/>
              </w:rPr>
            </w:pPr>
            <w:r w:rsidDel="00000000" w:rsidR="00000000" w:rsidRPr="00000000">
              <w:rPr>
                <w:rtl w:val="0"/>
              </w:rPr>
            </w:r>
          </w:p>
        </w:tc>
        <w:tc>
          <w:tcPr/>
          <w:p w:rsidR="00000000" w:rsidDel="00000000" w:rsidP="00000000" w:rsidRDefault="00000000" w:rsidRPr="00000000" w14:paraId="0000002D">
            <w:pPr>
              <w:rPr>
                <w:rFonts w:ascii="Arial" w:cs="Arial" w:eastAsia="Arial" w:hAnsi="Arial"/>
              </w:rPr>
            </w:pPr>
            <w:r w:rsidDel="00000000" w:rsidR="00000000" w:rsidRPr="00000000">
              <w:rPr>
                <w:rtl w:val="0"/>
              </w:rPr>
            </w:r>
          </w:p>
        </w:tc>
        <w:tc>
          <w:tcPr/>
          <w:p w:rsidR="00000000" w:rsidDel="00000000" w:rsidP="00000000" w:rsidRDefault="00000000" w:rsidRPr="00000000" w14:paraId="0000002E">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p w:rsidR="00000000" w:rsidDel="00000000" w:rsidP="00000000" w:rsidRDefault="00000000" w:rsidRPr="00000000" w14:paraId="00000031">
            <w:pPr>
              <w:rPr>
                <w:rFonts w:ascii="Arial" w:cs="Arial" w:eastAsia="Arial" w:hAnsi="Arial"/>
              </w:rPr>
            </w:pPr>
            <w:r w:rsidDel="00000000" w:rsidR="00000000" w:rsidRPr="00000000">
              <w:rPr>
                <w:rtl w:val="0"/>
              </w:rPr>
            </w:r>
          </w:p>
        </w:tc>
        <w:tc>
          <w:tcPr/>
          <w:p w:rsidR="00000000" w:rsidDel="00000000" w:rsidP="00000000" w:rsidRDefault="00000000" w:rsidRPr="00000000" w14:paraId="00000032">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34">
            <w:pPr>
              <w:rPr>
                <w:rFonts w:ascii="Arial" w:cs="Arial" w:eastAsia="Arial" w:hAnsi="Arial"/>
              </w:rPr>
            </w:pPr>
            <w:r w:rsidDel="00000000" w:rsidR="00000000" w:rsidRPr="00000000">
              <w:rPr>
                <w:rtl w:val="0"/>
              </w:rPr>
            </w:r>
          </w:p>
        </w:tc>
        <w:tc>
          <w:tcPr/>
          <w:p w:rsidR="00000000" w:rsidDel="00000000" w:rsidP="00000000" w:rsidRDefault="00000000" w:rsidRPr="00000000" w14:paraId="00000035">
            <w:pPr>
              <w:rPr>
                <w:rFonts w:ascii="Arial" w:cs="Arial" w:eastAsia="Arial" w:hAnsi="Arial"/>
              </w:rPr>
            </w:pPr>
            <w:r w:rsidDel="00000000" w:rsidR="00000000" w:rsidRPr="00000000">
              <w:rPr>
                <w:rtl w:val="0"/>
              </w:rPr>
            </w:r>
          </w:p>
        </w:tc>
        <w:tc>
          <w:tcPr/>
          <w:p w:rsidR="00000000" w:rsidDel="00000000" w:rsidP="00000000" w:rsidRDefault="00000000" w:rsidRPr="00000000" w14:paraId="00000036">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038">
            <w:pPr>
              <w:rPr>
                <w:rFonts w:ascii="Arial" w:cs="Arial" w:eastAsia="Arial" w:hAnsi="Arial"/>
              </w:rPr>
            </w:pP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12</w:t>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c>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13</w:t>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c>
          <w:tcPr/>
          <w:p w:rsidR="00000000" w:rsidDel="00000000" w:rsidP="00000000" w:rsidRDefault="00000000" w:rsidRPr="00000000" w14:paraId="00000041">
            <w:pPr>
              <w:rPr>
                <w:rFonts w:ascii="Arial" w:cs="Arial" w:eastAsia="Arial" w:hAnsi="Arial"/>
              </w:rPr>
            </w:pPr>
            <w:r w:rsidDel="00000000" w:rsidR="00000000" w:rsidRPr="00000000">
              <w:rPr>
                <w:rtl w:val="0"/>
              </w:rPr>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14</w:t>
            </w:r>
          </w:p>
        </w:tc>
        <w:tc>
          <w:tcPr/>
          <w:p w:rsidR="00000000" w:rsidDel="00000000" w:rsidP="00000000" w:rsidRDefault="00000000" w:rsidRPr="00000000" w14:paraId="00000044">
            <w:pPr>
              <w:rPr>
                <w:rFonts w:ascii="Arial" w:cs="Arial" w:eastAsia="Arial" w:hAnsi="Arial"/>
              </w:rPr>
            </w:pPr>
            <w:r w:rsidDel="00000000" w:rsidR="00000000" w:rsidRPr="00000000">
              <w:rPr>
                <w:rtl w:val="0"/>
              </w:rPr>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p w:rsidR="00000000" w:rsidDel="00000000" w:rsidP="00000000" w:rsidRDefault="00000000" w:rsidRPr="00000000" w14:paraId="00000046">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15</w:t>
            </w:r>
          </w:p>
        </w:tc>
        <w:tc>
          <w:tcPr/>
          <w:p w:rsidR="00000000" w:rsidDel="00000000" w:rsidP="00000000" w:rsidRDefault="00000000" w:rsidRPr="00000000" w14:paraId="00000048">
            <w:pPr>
              <w:rPr>
                <w:rFonts w:ascii="Arial" w:cs="Arial" w:eastAsia="Arial" w:hAnsi="Arial"/>
              </w:rPr>
            </w:pPr>
            <w:r w:rsidDel="00000000" w:rsidR="00000000" w:rsidRPr="00000000">
              <w:rPr>
                <w:rtl w:val="0"/>
              </w:rPr>
            </w:r>
          </w:p>
        </w:tc>
        <w:tc>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p w:rsidR="00000000" w:rsidDel="00000000" w:rsidP="00000000" w:rsidRDefault="00000000" w:rsidRPr="00000000" w14:paraId="0000004A">
            <w:pPr>
              <w:rPr>
                <w:rFonts w:ascii="Arial" w:cs="Arial" w:eastAsia="Arial" w:hAnsi="Arial"/>
              </w:rPr>
            </w:pPr>
            <w:r w:rsidDel="00000000" w:rsidR="00000000" w:rsidRPr="00000000">
              <w:rPr>
                <w:rtl w:val="0"/>
              </w:rPr>
            </w:r>
          </w:p>
        </w:tc>
      </w:tr>
    </w:tbl>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*Please save file as lastnameL and email it to Mrs. Tomlinson before Friday, February 5 at 3:30 PM.</w:t>
      </w:r>
    </w:p>
    <w:sectPr>
      <w:pgSz w:h="12240" w:w="15840" w:orient="landscape"/>
      <w:pgMar w:bottom="1080" w:top="72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00E7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7513"/>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B872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2CF"/>
    <w:rPr>
      <w:rFonts w:ascii="Segoe UI" w:cs="Segoe UI" w:hAnsi="Segoe UI"/>
      <w:sz w:val="18"/>
      <w:szCs w:val="18"/>
    </w:rPr>
  </w:style>
  <w:style w:type="paragraph" w:styleId="ListParagraph">
    <w:name w:val="List Paragraph"/>
    <w:basedOn w:val="Normal"/>
    <w:uiPriority w:val="34"/>
    <w:qFormat w:val="1"/>
    <w:rsid w:val="00A603F8"/>
    <w:pPr>
      <w:ind w:left="720"/>
      <w:contextualSpacing w:val="1"/>
    </w:pPr>
  </w:style>
  <w:style w:type="character" w:styleId="Heading1Char" w:customStyle="1">
    <w:name w:val="Heading 1 Char"/>
    <w:basedOn w:val="DefaultParagraphFont"/>
    <w:link w:val="Heading1"/>
    <w:uiPriority w:val="9"/>
    <w:rsid w:val="00900E7E"/>
    <w:rPr>
      <w:rFonts w:ascii="Times New Roman" w:cs="Times New Roman" w:eastAsia="Times New Roman" w:hAnsi="Times New Roman"/>
      <w:b w:val="1"/>
      <w:bCs w:val="1"/>
      <w:kern w:val="36"/>
      <w:sz w:val="48"/>
      <w:szCs w:val="48"/>
    </w:rPr>
  </w:style>
  <w:style w:type="character" w:styleId="a-size-large" w:customStyle="1">
    <w:name w:val="a-size-large"/>
    <w:basedOn w:val="DefaultParagraphFont"/>
    <w:rsid w:val="00900E7E"/>
  </w:style>
  <w:style w:type="table" w:styleId="TableGrid">
    <w:name w:val="Table Grid"/>
    <w:basedOn w:val="TableNormal"/>
    <w:uiPriority w:val="39"/>
    <w:rsid w:val="00900E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0E7E"/>
    <w:rPr>
      <w:color w:val="0563c1" w:themeColor="hyperlink"/>
      <w:u w:val="single"/>
    </w:rPr>
  </w:style>
  <w:style w:type="character" w:styleId="UnresolvedMention" w:customStyle="1">
    <w:name w:val="Unresolved Mention"/>
    <w:basedOn w:val="DefaultParagraphFont"/>
    <w:uiPriority w:val="99"/>
    <w:semiHidden w:val="1"/>
    <w:unhideWhenUsed w:val="1"/>
    <w:rsid w:val="00900E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mazon.com/ECR4Kids-Surf-Portable-Writing-10-Pack/dp/B07X1ZWZDX/ref=sr_1_8?dchild=1&amp;keywords=Flexible%2BSeating%2BClassroom&amp;qid=1611615433&amp;sr=8-8&amp;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oyE87xtx+bqWNTmKt7m5DK/8w==">AMUW2mUa0i40ZjMylX2iQ13ugQFukFFEsD0Bw2bRQUyiBG5I+T04n/QG/Ghd3WRxtAo7K1tK8m5opX6NU3mlEdWU/KoowwGugFJ+HwQ1LB7YbOHZ4JLlmwuAO2mdb5EJlFTi0g2yu9QT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2021-01-26T01:36:00Z</dcterms:created>
  <dc:creator>ohlson family</dc:creator>
</cp:coreProperties>
</file>